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B305" w14:textId="7DB234F6" w:rsidR="00B579BA" w:rsidRPr="005C2447" w:rsidRDefault="00B579BA" w:rsidP="00B579BA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Justiça </w:t>
      </w:r>
      <w:r w:rsidR="008D5909">
        <w:rPr>
          <w:rFonts w:ascii="Tahoma" w:hAnsi="Tahoma" w:cs="Tahoma"/>
          <w:b/>
          <w:sz w:val="24"/>
          <w:szCs w:val="24"/>
        </w:rPr>
        <w:t>F</w:t>
      </w:r>
      <w:r>
        <w:rPr>
          <w:rFonts w:ascii="Tahoma" w:hAnsi="Tahoma" w:cs="Tahoma"/>
          <w:b/>
          <w:sz w:val="24"/>
          <w:szCs w:val="24"/>
        </w:rPr>
        <w:t>ederal anula pagamento obrigatório de adicional de periculosidade a motoboys</w:t>
      </w:r>
    </w:p>
    <w:p w14:paraId="5F8FC046" w14:textId="1EEB1909" w:rsidR="00B579BA" w:rsidRPr="0079739A" w:rsidRDefault="00B5119E" w:rsidP="00B5119E">
      <w:pPr>
        <w:spacing w:after="0" w:line="360" w:lineRule="auto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Adicional elevou encargos das empresas, que acabaram demitindo esses funcionários; agora, </w:t>
      </w:r>
      <w:r w:rsidR="00B579BA" w:rsidRPr="0079739A">
        <w:rPr>
          <w:rFonts w:ascii="Tahoma" w:hAnsi="Tahoma" w:cs="Tahoma"/>
          <w:i/>
          <w:sz w:val="24"/>
          <w:szCs w:val="24"/>
        </w:rPr>
        <w:t>representad</w:t>
      </w:r>
      <w:r>
        <w:rPr>
          <w:rFonts w:ascii="Tahoma" w:hAnsi="Tahoma" w:cs="Tahoma"/>
          <w:i/>
          <w:sz w:val="24"/>
          <w:szCs w:val="24"/>
        </w:rPr>
        <w:t>o</w:t>
      </w:r>
      <w:r w:rsidR="00B579BA" w:rsidRPr="0079739A">
        <w:rPr>
          <w:rFonts w:ascii="Tahoma" w:hAnsi="Tahoma" w:cs="Tahoma"/>
          <w:i/>
          <w:sz w:val="24"/>
          <w:szCs w:val="24"/>
        </w:rPr>
        <w:t xml:space="preserve">s </w:t>
      </w:r>
      <w:r w:rsidR="00B579BA">
        <w:rPr>
          <w:rFonts w:ascii="Tahoma" w:hAnsi="Tahoma" w:cs="Tahoma"/>
          <w:i/>
          <w:sz w:val="24"/>
          <w:szCs w:val="24"/>
        </w:rPr>
        <w:t xml:space="preserve">diretamente </w:t>
      </w:r>
      <w:r w:rsidR="00B579BA" w:rsidRPr="0079739A">
        <w:rPr>
          <w:rFonts w:ascii="Tahoma" w:hAnsi="Tahoma" w:cs="Tahoma"/>
          <w:i/>
          <w:sz w:val="24"/>
          <w:szCs w:val="24"/>
        </w:rPr>
        <w:t>pela Fecomércio MG e mais 25 sindicatos filiados à Federação</w:t>
      </w:r>
      <w:r w:rsidR="00BA4183">
        <w:rPr>
          <w:rFonts w:ascii="Tahoma" w:hAnsi="Tahoma" w:cs="Tahoma"/>
          <w:i/>
          <w:sz w:val="24"/>
          <w:szCs w:val="24"/>
        </w:rPr>
        <w:t xml:space="preserve"> podem se beneficiar dessa sentença</w:t>
      </w:r>
    </w:p>
    <w:p w14:paraId="28D02834" w14:textId="77777777" w:rsidR="00B579BA" w:rsidRDefault="00B579BA" w:rsidP="00B579B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4A32682" w14:textId="7A0BB6EE" w:rsidR="00B579BA" w:rsidRDefault="00B579BA" w:rsidP="00B579B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Justiça </w:t>
      </w:r>
      <w:r w:rsidR="007E1946">
        <w:rPr>
          <w:rFonts w:ascii="Tahoma" w:hAnsi="Tahoma" w:cs="Tahoma"/>
          <w:sz w:val="24"/>
          <w:szCs w:val="24"/>
        </w:rPr>
        <w:t>Federal</w:t>
      </w:r>
      <w:r>
        <w:rPr>
          <w:rFonts w:ascii="Tahoma" w:hAnsi="Tahoma" w:cs="Tahoma"/>
          <w:sz w:val="24"/>
          <w:szCs w:val="24"/>
        </w:rPr>
        <w:t xml:space="preserve"> declarou nula a obrigatoriedade do adicional de periculosidade aos </w:t>
      </w:r>
      <w:r w:rsidRPr="00502DDA">
        <w:rPr>
          <w:rFonts w:ascii="Tahoma" w:hAnsi="Tahoma" w:cs="Tahoma"/>
          <w:sz w:val="24"/>
          <w:szCs w:val="24"/>
        </w:rPr>
        <w:t xml:space="preserve">trabalhadores </w:t>
      </w:r>
      <w:r>
        <w:rPr>
          <w:rFonts w:ascii="Tahoma" w:hAnsi="Tahoma" w:cs="Tahoma"/>
          <w:sz w:val="24"/>
          <w:szCs w:val="24"/>
        </w:rPr>
        <w:t>em</w:t>
      </w:r>
      <w:r w:rsidRPr="00502DDA">
        <w:rPr>
          <w:rFonts w:ascii="Tahoma" w:hAnsi="Tahoma" w:cs="Tahoma"/>
          <w:sz w:val="24"/>
          <w:szCs w:val="24"/>
        </w:rPr>
        <w:t xml:space="preserve"> atividades laborais com uso de motocicleta</w:t>
      </w:r>
      <w:r>
        <w:rPr>
          <w:rFonts w:ascii="Tahoma" w:hAnsi="Tahoma" w:cs="Tahoma"/>
          <w:sz w:val="24"/>
          <w:szCs w:val="24"/>
        </w:rPr>
        <w:t xml:space="preserve">. A sentença foi proferida pela </w:t>
      </w:r>
      <w:r w:rsidRPr="004D45FA">
        <w:rPr>
          <w:rFonts w:ascii="Tahoma" w:hAnsi="Tahoma" w:cs="Tahoma"/>
          <w:sz w:val="24"/>
          <w:szCs w:val="24"/>
        </w:rPr>
        <w:t>16ª Vara Federal Cível da Seção Judiciária de Minas Gerais (SJMG)</w:t>
      </w:r>
      <w:r>
        <w:rPr>
          <w:rFonts w:ascii="Tahoma" w:hAnsi="Tahoma" w:cs="Tahoma"/>
          <w:sz w:val="24"/>
          <w:szCs w:val="24"/>
        </w:rPr>
        <w:t xml:space="preserve"> em favor da Fecomércio MG e mais 25 sindicatos filiados à Federação. A ação coletiva, movida contra a </w:t>
      </w:r>
      <w:r w:rsidRPr="004D45FA">
        <w:rPr>
          <w:rFonts w:ascii="Tahoma" w:hAnsi="Tahoma" w:cs="Tahoma"/>
          <w:sz w:val="24"/>
          <w:szCs w:val="24"/>
        </w:rPr>
        <w:t>União</w:t>
      </w:r>
      <w:r>
        <w:rPr>
          <w:rFonts w:ascii="Tahoma" w:hAnsi="Tahoma" w:cs="Tahoma"/>
          <w:sz w:val="24"/>
          <w:szCs w:val="24"/>
        </w:rPr>
        <w:t>, beneficia todas as empresas representadas pelas entidades que integram o processo</w:t>
      </w:r>
      <w:r w:rsidR="006C7F50">
        <w:rPr>
          <w:rFonts w:ascii="Tahoma" w:hAnsi="Tahoma" w:cs="Tahoma"/>
          <w:sz w:val="24"/>
          <w:szCs w:val="24"/>
        </w:rPr>
        <w:t xml:space="preserve"> (nº </w:t>
      </w:r>
      <w:r w:rsidR="006C7F50" w:rsidRPr="006C7F50">
        <w:rPr>
          <w:rFonts w:ascii="Tahoma" w:hAnsi="Tahoma" w:cs="Tahoma"/>
          <w:sz w:val="24"/>
          <w:szCs w:val="24"/>
        </w:rPr>
        <w:t>0049124-08.2015.4.01.3800</w:t>
      </w:r>
      <w:r w:rsidR="006C7F50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.</w:t>
      </w:r>
    </w:p>
    <w:p w14:paraId="12093E58" w14:textId="77777777" w:rsidR="00B579BA" w:rsidRDefault="00B579BA" w:rsidP="00B579B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7A965C7" w14:textId="670ED4BB" w:rsidR="00B579BA" w:rsidRDefault="00B579BA" w:rsidP="00B579B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obrigatoriedade </w:t>
      </w:r>
      <w:r w:rsidR="006C7F50">
        <w:rPr>
          <w:rFonts w:ascii="Tahoma" w:hAnsi="Tahoma" w:cs="Tahoma"/>
          <w:sz w:val="24"/>
          <w:szCs w:val="24"/>
        </w:rPr>
        <w:t>do</w:t>
      </w:r>
      <w:r>
        <w:rPr>
          <w:rFonts w:ascii="Tahoma" w:hAnsi="Tahoma" w:cs="Tahoma"/>
          <w:sz w:val="24"/>
          <w:szCs w:val="24"/>
        </w:rPr>
        <w:t xml:space="preserve"> adicional de periculosidade foi estabelecida pela</w:t>
      </w:r>
      <w:r w:rsidRPr="00294907">
        <w:rPr>
          <w:rFonts w:ascii="Tahoma" w:hAnsi="Tahoma" w:cs="Tahoma"/>
          <w:sz w:val="24"/>
          <w:szCs w:val="24"/>
        </w:rPr>
        <w:t xml:space="preserve"> </w:t>
      </w:r>
      <w:r w:rsidRPr="00273FD4">
        <w:rPr>
          <w:rFonts w:ascii="Tahoma" w:hAnsi="Tahoma" w:cs="Tahoma"/>
          <w:sz w:val="24"/>
          <w:szCs w:val="24"/>
        </w:rPr>
        <w:t>Lei nº 12.997/2014</w:t>
      </w:r>
      <w:r>
        <w:rPr>
          <w:rFonts w:ascii="Tahoma" w:hAnsi="Tahoma" w:cs="Tahoma"/>
          <w:sz w:val="24"/>
          <w:szCs w:val="24"/>
        </w:rPr>
        <w:t xml:space="preserve">, que modificou o artigo 193 da Consolidação das Leis do Trabalho (CLT). Essa legislação considerou perigosas as </w:t>
      </w:r>
      <w:r w:rsidRPr="00273FD4">
        <w:rPr>
          <w:rFonts w:ascii="Tahoma" w:hAnsi="Tahoma" w:cs="Tahoma"/>
          <w:sz w:val="24"/>
          <w:szCs w:val="24"/>
        </w:rPr>
        <w:t>atividades d</w:t>
      </w:r>
      <w:r w:rsidR="006C7F50">
        <w:rPr>
          <w:rFonts w:ascii="Tahoma" w:hAnsi="Tahoma" w:cs="Tahoma"/>
          <w:sz w:val="24"/>
          <w:szCs w:val="24"/>
        </w:rPr>
        <w:t>e</w:t>
      </w:r>
      <w:r w:rsidRPr="00273FD4">
        <w:rPr>
          <w:rFonts w:ascii="Tahoma" w:hAnsi="Tahoma" w:cs="Tahoma"/>
          <w:sz w:val="24"/>
          <w:szCs w:val="24"/>
        </w:rPr>
        <w:t xml:space="preserve"> trabalhado</w:t>
      </w:r>
      <w:r>
        <w:rPr>
          <w:rFonts w:ascii="Tahoma" w:hAnsi="Tahoma" w:cs="Tahoma"/>
          <w:sz w:val="24"/>
          <w:szCs w:val="24"/>
        </w:rPr>
        <w:t xml:space="preserve">r em motocicleta, assegurando a esses </w:t>
      </w:r>
      <w:r w:rsidRPr="00273FD4">
        <w:rPr>
          <w:rFonts w:ascii="Tahoma" w:hAnsi="Tahoma" w:cs="Tahoma"/>
          <w:sz w:val="24"/>
          <w:szCs w:val="24"/>
        </w:rPr>
        <w:t>empregado</w:t>
      </w:r>
      <w:r>
        <w:rPr>
          <w:rFonts w:ascii="Tahoma" w:hAnsi="Tahoma" w:cs="Tahoma"/>
          <w:sz w:val="24"/>
          <w:szCs w:val="24"/>
        </w:rPr>
        <w:t>s</w:t>
      </w:r>
      <w:r w:rsidRPr="00273FD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 pagamento de um</w:t>
      </w:r>
      <w:r w:rsidRPr="00273FD4">
        <w:rPr>
          <w:rFonts w:ascii="Tahoma" w:hAnsi="Tahoma" w:cs="Tahoma"/>
          <w:sz w:val="24"/>
          <w:szCs w:val="24"/>
        </w:rPr>
        <w:t xml:space="preserve"> adicional fixado em 30% sobre o salário</w:t>
      </w:r>
      <w:r>
        <w:rPr>
          <w:rFonts w:ascii="Tahoma" w:hAnsi="Tahoma" w:cs="Tahoma"/>
          <w:sz w:val="24"/>
          <w:szCs w:val="24"/>
        </w:rPr>
        <w:t>.</w:t>
      </w:r>
    </w:p>
    <w:p w14:paraId="08B2326D" w14:textId="77777777" w:rsidR="00B579BA" w:rsidRDefault="00B579BA" w:rsidP="00B579B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7453CBD" w14:textId="77777777" w:rsidR="00B579BA" w:rsidRDefault="00B579BA" w:rsidP="00B579B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ocasião, a União promoveu um estudo para regulamentar a lei por meio da Portaria nº </w:t>
      </w:r>
      <w:r w:rsidRPr="004D45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  <w:r w:rsidRPr="004D45FA">
        <w:rPr>
          <w:rFonts w:ascii="Tahoma" w:hAnsi="Tahoma" w:cs="Tahoma"/>
          <w:sz w:val="24"/>
          <w:szCs w:val="24"/>
        </w:rPr>
        <w:t>565/</w:t>
      </w:r>
      <w:r>
        <w:rPr>
          <w:rFonts w:ascii="Tahoma" w:hAnsi="Tahoma" w:cs="Tahoma"/>
          <w:sz w:val="24"/>
          <w:szCs w:val="24"/>
        </w:rPr>
        <w:t>20</w:t>
      </w:r>
      <w:r w:rsidRPr="004D45FA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>,</w:t>
      </w:r>
      <w:r w:rsidRPr="004D45FA">
        <w:rPr>
          <w:rFonts w:ascii="Tahoma" w:hAnsi="Tahoma" w:cs="Tahoma"/>
          <w:sz w:val="24"/>
          <w:szCs w:val="24"/>
        </w:rPr>
        <w:t xml:space="preserve"> do Ministério do Trabalho</w:t>
      </w:r>
      <w:r>
        <w:rPr>
          <w:rFonts w:ascii="Tahoma" w:hAnsi="Tahoma" w:cs="Tahoma"/>
          <w:sz w:val="24"/>
          <w:szCs w:val="24"/>
        </w:rPr>
        <w:t>. Porém, essas etapas não foram adequadamente apresentadas aos empregadores, que não participaram devidamente do processo de aprovação da portaria. D</w:t>
      </w:r>
      <w:r w:rsidRPr="00273FD4">
        <w:rPr>
          <w:rFonts w:ascii="Tahoma" w:hAnsi="Tahoma" w:cs="Tahoma"/>
          <w:sz w:val="24"/>
          <w:szCs w:val="24"/>
        </w:rPr>
        <w:t>iante do déficit democrático do procedimento</w:t>
      </w:r>
      <w:r>
        <w:rPr>
          <w:rFonts w:ascii="Tahoma" w:hAnsi="Tahoma" w:cs="Tahoma"/>
          <w:sz w:val="24"/>
          <w:szCs w:val="24"/>
        </w:rPr>
        <w:t>, os autores da ação pleitearam a anulação da norma.</w:t>
      </w:r>
    </w:p>
    <w:p w14:paraId="763800E3" w14:textId="77777777" w:rsidR="00B579BA" w:rsidRDefault="00B579BA" w:rsidP="00B579B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D8709B0" w14:textId="609AFE1B" w:rsidR="00B579BA" w:rsidRDefault="00B579BA" w:rsidP="00B579B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C2447">
        <w:rPr>
          <w:rFonts w:ascii="Tahoma" w:hAnsi="Tahoma" w:cs="Tahoma"/>
          <w:sz w:val="24"/>
          <w:szCs w:val="24"/>
        </w:rPr>
        <w:t xml:space="preserve">Em sua sentença, o juiz federal Marcelo Dolzany da Costa lembrou que a matéria já foi enfrentada pelo Tribunal Regional Federal da 1ª Região (TRF-1), que anulou a portaria e seus efeitos. </w:t>
      </w:r>
      <w:r w:rsidR="00E658B6">
        <w:rPr>
          <w:rFonts w:ascii="Tahoma" w:hAnsi="Tahoma" w:cs="Tahoma"/>
          <w:sz w:val="24"/>
          <w:szCs w:val="24"/>
        </w:rPr>
        <w:t>“</w:t>
      </w:r>
      <w:r w:rsidRPr="005C2447">
        <w:rPr>
          <w:rFonts w:ascii="Tahoma" w:hAnsi="Tahoma" w:cs="Tahoma"/>
          <w:sz w:val="24"/>
          <w:szCs w:val="24"/>
        </w:rPr>
        <w:t>A aprovação de regulamentação trabalhista sem a devida observância ao regular processo legal e a participação efetiva de todos os interessados não poderia permanecer hígida no ordenament</w:t>
      </w:r>
      <w:r>
        <w:rPr>
          <w:rFonts w:ascii="Tahoma" w:hAnsi="Tahoma" w:cs="Tahoma"/>
          <w:sz w:val="24"/>
          <w:szCs w:val="24"/>
        </w:rPr>
        <w:t>o</w:t>
      </w:r>
      <w:r w:rsidRPr="005C2447">
        <w:rPr>
          <w:rFonts w:ascii="Tahoma" w:hAnsi="Tahoma" w:cs="Tahoma"/>
          <w:sz w:val="24"/>
          <w:szCs w:val="24"/>
        </w:rPr>
        <w:t xml:space="preserve"> jurídico</w:t>
      </w:r>
      <w:r w:rsidR="00E658B6">
        <w:rPr>
          <w:rFonts w:ascii="Tahoma" w:hAnsi="Tahoma" w:cs="Tahoma"/>
          <w:sz w:val="24"/>
          <w:szCs w:val="24"/>
        </w:rPr>
        <w:t>”</w:t>
      </w:r>
      <w:r w:rsidRPr="005C2447">
        <w:rPr>
          <w:rFonts w:ascii="Tahoma" w:hAnsi="Tahoma" w:cs="Tahoma"/>
          <w:sz w:val="24"/>
          <w:szCs w:val="24"/>
        </w:rPr>
        <w:t>, alegou.</w:t>
      </w:r>
    </w:p>
    <w:p w14:paraId="208B7D48" w14:textId="77777777" w:rsidR="00B579BA" w:rsidRDefault="00B579BA" w:rsidP="00B579B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251EC8E" w14:textId="77777777" w:rsidR="00B579BA" w:rsidRDefault="00B579BA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  <w:r w:rsidRPr="00E8334D">
        <w:rPr>
          <w:rFonts w:ascii="Tahoma" w:hAnsi="Tahoma" w:cs="Tahoma"/>
          <w:spacing w:val="-2"/>
          <w:sz w:val="24"/>
          <w:szCs w:val="24"/>
        </w:rPr>
        <w:lastRenderedPageBreak/>
        <w:t xml:space="preserve">O coordenador jurídico contencioso da Fecomércio MG, Rodrigo Ribeiro, ressalta que a norma deveria integrar o sistema tripartite paritário, princípio básico da Portaria </w:t>
      </w:r>
      <w:r>
        <w:rPr>
          <w:rFonts w:ascii="Tahoma" w:hAnsi="Tahoma" w:cs="Tahoma"/>
          <w:spacing w:val="-2"/>
          <w:sz w:val="24"/>
          <w:szCs w:val="24"/>
        </w:rPr>
        <w:t xml:space="preserve">nº </w:t>
      </w:r>
      <w:r w:rsidRPr="00E8334D">
        <w:rPr>
          <w:rFonts w:ascii="Tahoma" w:hAnsi="Tahoma" w:cs="Tahoma"/>
          <w:spacing w:val="-2"/>
          <w:sz w:val="24"/>
          <w:szCs w:val="24"/>
        </w:rPr>
        <w:t>1.127</w:t>
      </w:r>
      <w:r>
        <w:rPr>
          <w:rFonts w:ascii="Tahoma" w:hAnsi="Tahoma" w:cs="Tahoma"/>
          <w:spacing w:val="-2"/>
          <w:sz w:val="24"/>
          <w:szCs w:val="24"/>
        </w:rPr>
        <w:t>/</w:t>
      </w:r>
      <w:r w:rsidRPr="00E8334D">
        <w:rPr>
          <w:rFonts w:ascii="Tahoma" w:hAnsi="Tahoma" w:cs="Tahoma"/>
          <w:spacing w:val="-2"/>
          <w:sz w:val="24"/>
          <w:szCs w:val="24"/>
        </w:rPr>
        <w:t>200</w:t>
      </w:r>
      <w:r>
        <w:rPr>
          <w:rFonts w:ascii="Tahoma" w:hAnsi="Tahoma" w:cs="Tahoma"/>
          <w:spacing w:val="-2"/>
          <w:sz w:val="24"/>
          <w:szCs w:val="24"/>
        </w:rPr>
        <w:t>3. Esse fórum, instituído pelo governo federal, é</w:t>
      </w:r>
      <w:r w:rsidRPr="00E8334D">
        <w:rPr>
          <w:rFonts w:ascii="Tahoma" w:hAnsi="Tahoma" w:cs="Tahoma"/>
          <w:spacing w:val="-2"/>
          <w:sz w:val="24"/>
          <w:szCs w:val="24"/>
        </w:rPr>
        <w:t xml:space="preserve"> responsável por discutir temas referentes à segurança e à saúde no trabalho, em especial as </w:t>
      </w:r>
      <w:r>
        <w:rPr>
          <w:rFonts w:ascii="Tahoma" w:hAnsi="Tahoma" w:cs="Tahoma"/>
          <w:spacing w:val="-2"/>
          <w:sz w:val="24"/>
          <w:szCs w:val="24"/>
        </w:rPr>
        <w:t>Normas Regulamentadoras (NR).</w:t>
      </w:r>
    </w:p>
    <w:p w14:paraId="3BECBC4F" w14:textId="77777777" w:rsidR="00B579BA" w:rsidRDefault="00B579BA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</w:p>
    <w:p w14:paraId="0400E96F" w14:textId="3513480C" w:rsidR="00B579BA" w:rsidRDefault="00B579BA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  <w:r w:rsidRPr="00E8334D">
        <w:rPr>
          <w:rFonts w:ascii="Tahoma" w:hAnsi="Tahoma" w:cs="Tahoma"/>
          <w:spacing w:val="-2"/>
          <w:sz w:val="24"/>
          <w:szCs w:val="24"/>
        </w:rPr>
        <w:t>“</w:t>
      </w:r>
      <w:r w:rsidR="00E63779" w:rsidRPr="00E63779">
        <w:rPr>
          <w:rFonts w:ascii="Tahoma" w:hAnsi="Tahoma" w:cs="Tahoma"/>
          <w:spacing w:val="-2"/>
          <w:sz w:val="24"/>
          <w:szCs w:val="24"/>
        </w:rPr>
        <w:t>Embora necessária, a proteção a uma categoria mais vulnerável não pode ser feita às custas da violação das regras trabalhistas que garantem a participação efetiva dos empregadores no processo de regulamentação da norma. Por isso, solicitamos a anulação da portaria</w:t>
      </w:r>
      <w:r w:rsidRPr="00E8334D">
        <w:rPr>
          <w:rFonts w:ascii="Tahoma" w:hAnsi="Tahoma" w:cs="Tahoma"/>
          <w:spacing w:val="-2"/>
          <w:sz w:val="24"/>
          <w:szCs w:val="24"/>
        </w:rPr>
        <w:t>”</w:t>
      </w:r>
      <w:r>
        <w:rPr>
          <w:rFonts w:ascii="Tahoma" w:hAnsi="Tahoma" w:cs="Tahoma"/>
          <w:spacing w:val="-2"/>
          <w:sz w:val="24"/>
          <w:szCs w:val="24"/>
        </w:rPr>
        <w:t>, salienta Ribeiro.</w:t>
      </w:r>
    </w:p>
    <w:p w14:paraId="3FBFBFF6" w14:textId="5C2645F4" w:rsidR="00E658B6" w:rsidRDefault="00E658B6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</w:p>
    <w:p w14:paraId="43569481" w14:textId="5D4B8228" w:rsidR="00993031" w:rsidRPr="00474058" w:rsidRDefault="00474058" w:rsidP="00B579BA">
      <w:pPr>
        <w:spacing w:after="0" w:line="360" w:lineRule="auto"/>
        <w:jc w:val="both"/>
        <w:rPr>
          <w:rFonts w:ascii="Tahoma" w:hAnsi="Tahoma" w:cs="Tahoma"/>
          <w:b/>
          <w:bCs/>
          <w:spacing w:val="-2"/>
          <w:sz w:val="24"/>
          <w:szCs w:val="24"/>
        </w:rPr>
      </w:pPr>
      <w:r w:rsidRPr="00474058">
        <w:rPr>
          <w:rFonts w:ascii="Tahoma" w:hAnsi="Tahoma" w:cs="Tahoma"/>
          <w:b/>
          <w:bCs/>
          <w:spacing w:val="-2"/>
          <w:sz w:val="24"/>
          <w:szCs w:val="24"/>
        </w:rPr>
        <w:t>Impacto econômico</w:t>
      </w:r>
    </w:p>
    <w:p w14:paraId="34CD1212" w14:textId="3A3B18B4" w:rsidR="00474058" w:rsidRDefault="00474058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</w:p>
    <w:p w14:paraId="4B783EB1" w14:textId="2DDB73B4" w:rsidR="00E77FD7" w:rsidRDefault="00474058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  <w:r>
        <w:rPr>
          <w:rFonts w:ascii="Tahoma" w:hAnsi="Tahoma" w:cs="Tahoma"/>
          <w:spacing w:val="-2"/>
          <w:sz w:val="24"/>
          <w:szCs w:val="24"/>
        </w:rPr>
        <w:t xml:space="preserve">Ao desconsiderar a participação dos empresários, </w:t>
      </w:r>
      <w:r w:rsidR="00BB62B4">
        <w:rPr>
          <w:rFonts w:ascii="Tahoma" w:hAnsi="Tahoma" w:cs="Tahoma"/>
          <w:spacing w:val="-2"/>
          <w:sz w:val="24"/>
          <w:szCs w:val="24"/>
        </w:rPr>
        <w:t>a obrigatoriedade do adicional de periculosidade</w:t>
      </w:r>
      <w:r w:rsidR="006E5EC9">
        <w:rPr>
          <w:rFonts w:ascii="Tahoma" w:hAnsi="Tahoma" w:cs="Tahoma"/>
          <w:spacing w:val="-2"/>
          <w:sz w:val="24"/>
          <w:szCs w:val="24"/>
        </w:rPr>
        <w:t xml:space="preserve"> – fixada em</w:t>
      </w:r>
      <w:r w:rsidR="006E5EC9" w:rsidRPr="00273FD4">
        <w:rPr>
          <w:rFonts w:ascii="Tahoma" w:hAnsi="Tahoma" w:cs="Tahoma"/>
          <w:sz w:val="24"/>
          <w:szCs w:val="24"/>
        </w:rPr>
        <w:t xml:space="preserve"> 30% sobre o salário</w:t>
      </w:r>
      <w:r w:rsidR="006E5EC9">
        <w:rPr>
          <w:rFonts w:ascii="Tahoma" w:hAnsi="Tahoma" w:cs="Tahoma"/>
          <w:sz w:val="24"/>
          <w:szCs w:val="24"/>
        </w:rPr>
        <w:t xml:space="preserve"> –</w:t>
      </w:r>
      <w:r w:rsidR="00BB62B4">
        <w:rPr>
          <w:rFonts w:ascii="Tahoma" w:hAnsi="Tahoma" w:cs="Tahoma"/>
          <w:spacing w:val="-2"/>
          <w:sz w:val="24"/>
          <w:szCs w:val="24"/>
        </w:rPr>
        <w:t xml:space="preserve"> acabou obtendo efeito contrário ao que foi pretendido. De acordo com o </w:t>
      </w:r>
      <w:r w:rsidR="00BB62B4" w:rsidRPr="00236F1A">
        <w:rPr>
          <w:rFonts w:ascii="Tahoma" w:hAnsi="Tahoma" w:cs="Tahoma"/>
          <w:b/>
          <w:bCs/>
          <w:spacing w:val="-2"/>
          <w:sz w:val="24"/>
          <w:szCs w:val="24"/>
        </w:rPr>
        <w:t>[CARGO]</w:t>
      </w:r>
      <w:r w:rsidR="00BB62B4">
        <w:rPr>
          <w:rFonts w:ascii="Tahoma" w:hAnsi="Tahoma" w:cs="Tahoma"/>
          <w:spacing w:val="-2"/>
          <w:sz w:val="24"/>
          <w:szCs w:val="24"/>
        </w:rPr>
        <w:t xml:space="preserve"> do </w:t>
      </w:r>
      <w:r w:rsidR="00BB62B4" w:rsidRPr="00236F1A">
        <w:rPr>
          <w:rFonts w:ascii="Tahoma" w:hAnsi="Tahoma" w:cs="Tahoma"/>
          <w:b/>
          <w:bCs/>
          <w:spacing w:val="-2"/>
          <w:sz w:val="24"/>
          <w:szCs w:val="24"/>
        </w:rPr>
        <w:t>[SINDICATO]</w:t>
      </w:r>
      <w:r w:rsidR="0052604C">
        <w:rPr>
          <w:rFonts w:ascii="Tahoma" w:hAnsi="Tahoma" w:cs="Tahoma"/>
          <w:spacing w:val="-2"/>
          <w:sz w:val="24"/>
          <w:szCs w:val="24"/>
        </w:rPr>
        <w:t xml:space="preserve">, </w:t>
      </w:r>
      <w:r w:rsidR="0052604C" w:rsidRPr="00236F1A">
        <w:rPr>
          <w:rFonts w:ascii="Tahoma" w:hAnsi="Tahoma" w:cs="Tahoma"/>
          <w:b/>
          <w:bCs/>
          <w:spacing w:val="-2"/>
          <w:sz w:val="24"/>
          <w:szCs w:val="24"/>
        </w:rPr>
        <w:t>[NOME]</w:t>
      </w:r>
      <w:r w:rsidR="0052604C">
        <w:rPr>
          <w:rFonts w:ascii="Tahoma" w:hAnsi="Tahoma" w:cs="Tahoma"/>
          <w:spacing w:val="-2"/>
          <w:sz w:val="24"/>
          <w:szCs w:val="24"/>
        </w:rPr>
        <w:t xml:space="preserve">, ao elevar os encargos do empregador, a medida forçou </w:t>
      </w:r>
      <w:r w:rsidR="00AE6483">
        <w:rPr>
          <w:rFonts w:ascii="Tahoma" w:hAnsi="Tahoma" w:cs="Tahoma"/>
          <w:spacing w:val="-2"/>
          <w:sz w:val="24"/>
          <w:szCs w:val="24"/>
        </w:rPr>
        <w:t>o desligamento de centenas de motoboys em todo o estado</w:t>
      </w:r>
      <w:r w:rsidR="00C65686">
        <w:rPr>
          <w:rFonts w:ascii="Tahoma" w:hAnsi="Tahoma" w:cs="Tahoma"/>
          <w:spacing w:val="-2"/>
          <w:sz w:val="24"/>
          <w:szCs w:val="24"/>
        </w:rPr>
        <w:t>.</w:t>
      </w:r>
    </w:p>
    <w:p w14:paraId="19F702F1" w14:textId="77777777" w:rsidR="00E77FD7" w:rsidRDefault="00E77FD7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</w:p>
    <w:p w14:paraId="32080CC9" w14:textId="7E0289A6" w:rsidR="00B579BA" w:rsidRDefault="00C65686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  <w:r>
        <w:rPr>
          <w:rFonts w:ascii="Tahoma" w:hAnsi="Tahoma" w:cs="Tahoma"/>
          <w:spacing w:val="-2"/>
          <w:sz w:val="24"/>
          <w:szCs w:val="24"/>
        </w:rPr>
        <w:t>“Com a alta carga tributária e a crise econômica enfrentada nos últimos anos, o empresário se viu sem opções: teve que demitir o motoboy e contratar mão de obra terceirizada</w:t>
      </w:r>
      <w:r w:rsidR="004C2497">
        <w:rPr>
          <w:rFonts w:ascii="Tahoma" w:hAnsi="Tahoma" w:cs="Tahoma"/>
          <w:spacing w:val="-2"/>
          <w:sz w:val="24"/>
          <w:szCs w:val="24"/>
        </w:rPr>
        <w:t>. A obrigatoriedade do adicional de periculosidade, da forma como foi impost</w:t>
      </w:r>
      <w:r w:rsidR="00E43696">
        <w:rPr>
          <w:rFonts w:ascii="Tahoma" w:hAnsi="Tahoma" w:cs="Tahoma"/>
          <w:spacing w:val="-2"/>
          <w:sz w:val="24"/>
          <w:szCs w:val="24"/>
        </w:rPr>
        <w:t>a</w:t>
      </w:r>
      <w:r w:rsidR="004C2497">
        <w:rPr>
          <w:rFonts w:ascii="Tahoma" w:hAnsi="Tahoma" w:cs="Tahoma"/>
          <w:spacing w:val="-2"/>
          <w:sz w:val="24"/>
          <w:szCs w:val="24"/>
        </w:rPr>
        <w:t>, acabou desestimulando a manutenção dos empregos</w:t>
      </w:r>
      <w:r w:rsidR="006D7153">
        <w:rPr>
          <w:rFonts w:ascii="Tahoma" w:hAnsi="Tahoma" w:cs="Tahoma"/>
          <w:spacing w:val="-2"/>
          <w:sz w:val="24"/>
          <w:szCs w:val="24"/>
        </w:rPr>
        <w:t xml:space="preserve">, e, assim, prejudicando tanto empregadores quanto empregados”, avalia </w:t>
      </w:r>
      <w:r w:rsidR="006D7153" w:rsidRPr="00236F1A">
        <w:rPr>
          <w:rFonts w:ascii="Tahoma" w:hAnsi="Tahoma" w:cs="Tahoma"/>
          <w:b/>
          <w:bCs/>
          <w:spacing w:val="-2"/>
          <w:sz w:val="24"/>
          <w:szCs w:val="24"/>
        </w:rPr>
        <w:t>[SOBRENOME]</w:t>
      </w:r>
      <w:r w:rsidR="006D7153">
        <w:rPr>
          <w:rFonts w:ascii="Tahoma" w:hAnsi="Tahoma" w:cs="Tahoma"/>
          <w:spacing w:val="-2"/>
          <w:sz w:val="24"/>
          <w:szCs w:val="24"/>
        </w:rPr>
        <w:t>.</w:t>
      </w:r>
    </w:p>
    <w:p w14:paraId="2FC0ECE6" w14:textId="3C2C233F" w:rsidR="006E5EC9" w:rsidRDefault="006E5EC9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</w:p>
    <w:p w14:paraId="5A6E7FB6" w14:textId="6BEB8071" w:rsidR="00993031" w:rsidRDefault="00E011CE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  <w:r>
        <w:rPr>
          <w:rFonts w:ascii="Tahoma" w:hAnsi="Tahoma" w:cs="Tahoma"/>
          <w:spacing w:val="-2"/>
          <w:sz w:val="24"/>
          <w:szCs w:val="24"/>
        </w:rPr>
        <w:t>A</w:t>
      </w:r>
      <w:r w:rsidR="00C34BD6">
        <w:rPr>
          <w:rFonts w:ascii="Tahoma" w:hAnsi="Tahoma" w:cs="Tahoma"/>
          <w:spacing w:val="-2"/>
          <w:sz w:val="24"/>
          <w:szCs w:val="24"/>
        </w:rPr>
        <w:t>s</w:t>
      </w:r>
      <w:r>
        <w:rPr>
          <w:rFonts w:ascii="Tahoma" w:hAnsi="Tahoma" w:cs="Tahoma"/>
          <w:spacing w:val="-2"/>
          <w:sz w:val="24"/>
          <w:szCs w:val="24"/>
        </w:rPr>
        <w:t xml:space="preserve"> </w:t>
      </w:r>
      <w:r w:rsidR="005D6668" w:rsidRPr="005D6668">
        <w:rPr>
          <w:rFonts w:ascii="Tahoma" w:hAnsi="Tahoma" w:cs="Tahoma"/>
          <w:spacing w:val="-2"/>
          <w:sz w:val="24"/>
          <w:szCs w:val="24"/>
        </w:rPr>
        <w:t xml:space="preserve">empresas representadas interessadas em </w:t>
      </w:r>
      <w:r w:rsidR="00C34BD6">
        <w:rPr>
          <w:rFonts w:ascii="Tahoma" w:hAnsi="Tahoma" w:cs="Tahoma"/>
          <w:spacing w:val="-2"/>
          <w:sz w:val="24"/>
          <w:szCs w:val="24"/>
        </w:rPr>
        <w:t>operacionalizar</w:t>
      </w:r>
      <w:r w:rsidR="005D6668" w:rsidRPr="005D6668">
        <w:rPr>
          <w:rFonts w:ascii="Tahoma" w:hAnsi="Tahoma" w:cs="Tahoma"/>
          <w:spacing w:val="-2"/>
          <w:sz w:val="24"/>
          <w:szCs w:val="24"/>
        </w:rPr>
        <w:t xml:space="preserve"> a decisão no seu dia a dia</w:t>
      </w:r>
      <w:r w:rsidR="00652AE6">
        <w:rPr>
          <w:rFonts w:ascii="Tahoma" w:hAnsi="Tahoma" w:cs="Tahoma"/>
          <w:spacing w:val="-2"/>
          <w:sz w:val="24"/>
          <w:szCs w:val="24"/>
        </w:rPr>
        <w:t xml:space="preserve"> </w:t>
      </w:r>
      <w:r w:rsidR="005D6668" w:rsidRPr="005D6668">
        <w:rPr>
          <w:rFonts w:ascii="Tahoma" w:hAnsi="Tahoma" w:cs="Tahoma"/>
          <w:spacing w:val="-2"/>
          <w:sz w:val="24"/>
          <w:szCs w:val="24"/>
        </w:rPr>
        <w:t>deverão entrar em contato com o</w:t>
      </w:r>
      <w:r w:rsidR="00F415C2">
        <w:rPr>
          <w:rFonts w:ascii="Tahoma" w:hAnsi="Tahoma" w:cs="Tahoma"/>
          <w:spacing w:val="-2"/>
          <w:sz w:val="24"/>
          <w:szCs w:val="24"/>
        </w:rPr>
        <w:t xml:space="preserve"> seu respectivo</w:t>
      </w:r>
      <w:r w:rsidR="005D6668" w:rsidRPr="005D6668">
        <w:rPr>
          <w:rFonts w:ascii="Tahoma" w:hAnsi="Tahoma" w:cs="Tahoma"/>
          <w:spacing w:val="-2"/>
          <w:sz w:val="24"/>
          <w:szCs w:val="24"/>
        </w:rPr>
        <w:t xml:space="preserve"> </w:t>
      </w:r>
      <w:r w:rsidR="00652AE6">
        <w:rPr>
          <w:rFonts w:ascii="Tahoma" w:hAnsi="Tahoma" w:cs="Tahoma"/>
          <w:spacing w:val="-2"/>
          <w:sz w:val="24"/>
          <w:szCs w:val="24"/>
        </w:rPr>
        <w:t>s</w:t>
      </w:r>
      <w:r w:rsidR="005D6668" w:rsidRPr="005D6668">
        <w:rPr>
          <w:rFonts w:ascii="Tahoma" w:hAnsi="Tahoma" w:cs="Tahoma"/>
          <w:spacing w:val="-2"/>
          <w:sz w:val="24"/>
          <w:szCs w:val="24"/>
        </w:rPr>
        <w:t>indicato</w:t>
      </w:r>
      <w:r w:rsidR="00C34BD6">
        <w:rPr>
          <w:rFonts w:ascii="Tahoma" w:hAnsi="Tahoma" w:cs="Tahoma"/>
          <w:spacing w:val="-2"/>
          <w:sz w:val="24"/>
          <w:szCs w:val="24"/>
        </w:rPr>
        <w:t>.</w:t>
      </w:r>
    </w:p>
    <w:p w14:paraId="5EFDBE18" w14:textId="77777777" w:rsidR="00C34BD6" w:rsidRDefault="00C34BD6" w:rsidP="00B579BA">
      <w:pPr>
        <w:spacing w:after="0" w:line="360" w:lineRule="auto"/>
        <w:jc w:val="both"/>
        <w:rPr>
          <w:rFonts w:ascii="Tahoma" w:hAnsi="Tahoma" w:cs="Tahoma"/>
          <w:spacing w:val="-2"/>
          <w:sz w:val="24"/>
          <w:szCs w:val="24"/>
        </w:rPr>
      </w:pPr>
    </w:p>
    <w:p w14:paraId="36BF6E27" w14:textId="73A7EE83" w:rsidR="00B579BA" w:rsidRPr="00630DEF" w:rsidRDefault="008D5909" w:rsidP="00630DEF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hyperlink r:id="rId4" w:history="1">
        <w:r w:rsidR="00B579BA" w:rsidRPr="00630DEF">
          <w:rPr>
            <w:rStyle w:val="Hyperlink"/>
            <w:rFonts w:ascii="Tahoma" w:hAnsi="Tahoma" w:cs="Tahoma"/>
            <w:b/>
            <w:spacing w:val="-2"/>
            <w:sz w:val="24"/>
            <w:szCs w:val="24"/>
          </w:rPr>
          <w:t xml:space="preserve">Confira, na íntegra, a sentença da </w:t>
        </w:r>
        <w:r w:rsidR="00B579BA" w:rsidRPr="00630DEF">
          <w:rPr>
            <w:rStyle w:val="Hyperlink"/>
            <w:rFonts w:ascii="Tahoma" w:hAnsi="Tahoma" w:cs="Tahoma"/>
            <w:b/>
            <w:sz w:val="24"/>
            <w:szCs w:val="24"/>
          </w:rPr>
          <w:t>16ª Vara Federal Cível da SJMG</w:t>
        </w:r>
      </w:hyperlink>
    </w:p>
    <w:sectPr w:rsidR="00B579BA" w:rsidRPr="00630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BA"/>
    <w:rsid w:val="00236F1A"/>
    <w:rsid w:val="00335441"/>
    <w:rsid w:val="00425F2C"/>
    <w:rsid w:val="00474058"/>
    <w:rsid w:val="004B63E8"/>
    <w:rsid w:val="004C2497"/>
    <w:rsid w:val="0052604C"/>
    <w:rsid w:val="005D6668"/>
    <w:rsid w:val="00630DEF"/>
    <w:rsid w:val="00652AE6"/>
    <w:rsid w:val="006C7F50"/>
    <w:rsid w:val="006D7153"/>
    <w:rsid w:val="006E5EC9"/>
    <w:rsid w:val="007844D9"/>
    <w:rsid w:val="007E1946"/>
    <w:rsid w:val="008D5909"/>
    <w:rsid w:val="00993031"/>
    <w:rsid w:val="00AD05EB"/>
    <w:rsid w:val="00AD429E"/>
    <w:rsid w:val="00AE6483"/>
    <w:rsid w:val="00B5119E"/>
    <w:rsid w:val="00B579BA"/>
    <w:rsid w:val="00BA4183"/>
    <w:rsid w:val="00BB62B4"/>
    <w:rsid w:val="00C34BD6"/>
    <w:rsid w:val="00C65686"/>
    <w:rsid w:val="00E011CE"/>
    <w:rsid w:val="00E43696"/>
    <w:rsid w:val="00E63779"/>
    <w:rsid w:val="00E658B6"/>
    <w:rsid w:val="00E77FD7"/>
    <w:rsid w:val="00F4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E828"/>
  <w15:chartTrackingRefBased/>
  <w15:docId w15:val="{71C43DE2-60FC-434C-887B-C10A983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9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79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0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ecomerciomg.org.br/wp-content/uploads/2021/07/Senten&#231;a-Proced&#234;ncia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Fernandes Alvarenga</dc:creator>
  <cp:keywords/>
  <dc:description/>
  <cp:lastModifiedBy>Lucas Fernandes Alvarenga</cp:lastModifiedBy>
  <cp:revision>10</cp:revision>
  <dcterms:created xsi:type="dcterms:W3CDTF">2021-07-05T12:31:00Z</dcterms:created>
  <dcterms:modified xsi:type="dcterms:W3CDTF">2021-08-04T14:36:00Z</dcterms:modified>
</cp:coreProperties>
</file>